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bookmarkStart w:id="0" w:name="_Toc19357"/>
      <w:r>
        <w:rPr>
          <w:rFonts w:hint="eastAsia"/>
          <w:lang w:val="en-US" w:eastAsia="zh-CN"/>
        </w:rPr>
        <w:t>星际控股近三年产品返回率计算</w:t>
      </w:r>
      <w:bookmarkEnd w:id="0"/>
    </w:p>
    <w:p>
      <w:pPr>
        <w:bidi w:val="0"/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67"/>
        <w:gridCol w:w="2083"/>
        <w:gridCol w:w="208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</w:t>
            </w:r>
          </w:p>
        </w:tc>
        <w:tc>
          <w:tcPr>
            <w:tcW w:w="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退货额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退货损失金额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退货回收金额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回收率（%）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280.85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24.23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256.62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305.97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29.12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276.85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300.87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25.74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275.13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887.69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79.09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808.6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91.10%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填表说明: 退货额指的是退货产品的估算价值, 回收金额是指退货产品可重复利用/重复生产/重复销售等获得的价值, 损失金额是指退货产品报废/损坏等损失掉的价值, 回收率是(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退货回收金额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/退货总金额)*100%</w:t>
      </w:r>
      <w:bookmarkStart w:id="1" w:name="_GoBack"/>
      <w:bookmarkEnd w:id="1"/>
    </w:p>
    <w:p>
      <w:pP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OThmNjBjNThlNzY2OGQ0NzhjMjJhNWQzNmFhZTEifQ=="/>
  </w:docVars>
  <w:rsids>
    <w:rsidRoot w:val="00000000"/>
    <w:rsid w:val="2B35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2023-08-08T06:22:49Z</dcterms:created>
  <dc:creator>LXL</dc:creator>
  <cp:lastModifiedBy>LiBrP</cp:lastModifiedBy>
  <dcterms:modified xsi:type="dcterms:W3CDTF">2023-08-08T06:23:57Z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D2446DAF7AEB45F3AE9C9770071C8FF4_12</vt:lpwstr>
  </property>
</Properties>
</file>